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  <w:highlight w:val="none"/>
        </w:rPr>
      </w:pPr>
      <w:r>
        <w:rPr>
          <w:rFonts w:ascii="方正小标宋简体" w:hAnsi="Times New Roman" w:eastAsia="方正小标宋简体"/>
          <w:color w:val="auto"/>
          <w:sz w:val="32"/>
          <w:szCs w:val="32"/>
          <w:highlight w:val="none"/>
        </w:rPr>
        <w:t>202</w:t>
      </w:r>
      <w:r>
        <w:rPr>
          <w:rFonts w:hint="eastAsia" w:ascii="方正小标宋简体" w:eastAsia="方正小标宋简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方正小标宋简体" w:hAnsi="Times New Roman" w:eastAsia="方正小标宋简体"/>
          <w:color w:val="auto"/>
          <w:sz w:val="32"/>
          <w:szCs w:val="32"/>
          <w:highlight w:val="none"/>
        </w:rPr>
        <w:t>年武威市中等职业学校技能大赛（学生组）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Times New Roman" w:eastAsia="方正小标宋简体"/>
          <w:color w:val="auto"/>
          <w:sz w:val="32"/>
          <w:szCs w:val="32"/>
          <w:highlight w:val="none"/>
        </w:rPr>
        <w:t>建筑设备安装与调控赛项</w:t>
      </w:r>
      <w:r>
        <w:rPr>
          <w:rFonts w:ascii="方正小标宋简体" w:hAnsi="Times New Roman" w:eastAsia="方正小标宋简体"/>
          <w:color w:val="auto"/>
          <w:sz w:val="32"/>
          <w:szCs w:val="32"/>
          <w:highlight w:val="none"/>
        </w:rPr>
        <w:t>规程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一、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赛项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名称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建筑设备安装与调控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二、竞赛时间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2023年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2月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日——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2月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日</w:t>
      </w:r>
    </w:p>
    <w:p>
      <w:pPr>
        <w:widowControl/>
        <w:spacing w:line="580" w:lineRule="exact"/>
        <w:ind w:firstLine="562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三、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竞赛地点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甘肃省理工中等专业学校建筑实训中心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、竞赛方式与内容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（一）竞赛方式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建筑设备安装与调控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赛项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为团体赛，以校为单位组队参赛，不得跨校组队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，每队限报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2名指导教师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（二）组队要求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.全市各级各类中等职业学校、技工学校202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级、202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级学生，不限性别。大赛期间，各代表队须为每位参赛选手办理意外伤害险，否则不予参赛。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2.每个参赛队由2人组成，应在规定的时间内完成竞赛任务书要求的全部内容。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（三）竞赛内容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参赛选手利用赛场提供的工具和设备，在规定的时间内，按照任务书要求完成设备指定部分的安装的工作。满分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120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分，竞赛时间为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分钟。竞赛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工作任务和考查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内容包括：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1．管材加工连接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和设备安装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参赛选手根据任务书的要求，选手从提供的管材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和配件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中选择相应的管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材和配件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进行切割和连接，完成消防系统和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排水系统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相应管道的切割连接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和设备安装，考查选手对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消防系统和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排水系统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相应管道的切割连接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和设备安装的准确性与规范性；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2．工具使用方法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在进行管材加工连接和设备安装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的同时考查选手工具使用的正确性与规范性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；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3．职业素养与安全意识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在竞赛的全过程中考查选手的职业素养与安全意识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、赛场提供的设备和器材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竞赛组委会统一提供THPWSD-1型给排水设备安装与控制实训装置，耗材统一提供，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选手可自带手动镀锌钢管割刀和手动镀锌钢管套丝机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、成绩评定与奖项设定</w:t>
      </w:r>
    </w:p>
    <w:p>
      <w:pPr>
        <w:widowControl/>
        <w:spacing w:line="580" w:lineRule="exact"/>
        <w:ind w:firstLine="562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成绩评定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参赛选手的成绩评定由大赛执委会裁判组负责。根据在规定时间内选手完成工作任务的情况进行评分，满分为</w:t>
      </w: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120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分。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1.竞赛成绩评定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具体根据裁判组制定的评分标准进行评分。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2．违规扣分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选手有下列情形，需从参赛成绩中扣分：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在完成工作任务的过程中，因操作不当导致事故，视情节扣10～20分，情况严重者取消比赛资格。因违规操作损坏赛场提供的设备，污染赛场环境等不符合职业规范的行为，视情节扣5～10分。扰乱赛场秩序，干扰裁判员工作，视情节扣5～10分，情况严重者取消比赛资格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 xml:space="preserve">3．名次确定 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 xml:space="preserve">本次大赛比赛名次依据以下排名规则顺序排列： 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1）根据成绩排名，即总成绩较高者，名次在前。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2）总成绩相同者，比赛所用时间较短者，名次在前。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3）比赛所用时间相同者,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管材加工连接环节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实操技能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成绩较高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者，名次在前。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</w:rPr>
        <w:t>奖项设定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1.参赛选手奖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获奖比例为该项目参赛人数（组数）的15%，25%，35%（小数点后一位四舍五入），不设优秀奖。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2.指导教师奖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为一等奖选手的指导教师颁发优秀指导教师奖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 w:val="0"/>
          <w:sz w:val="28"/>
          <w:szCs w:val="28"/>
          <w:highlight w:val="none"/>
          <w:lang w:eastAsia="zh-CN"/>
        </w:rPr>
        <w:t>七</w:t>
      </w:r>
      <w:r>
        <w:rPr>
          <w:rFonts w:hint="eastAsia" w:ascii="Times New Roman" w:hAnsi="Times New Roman" w:eastAsia="仿宋" w:cs="Times New Roman"/>
          <w:b/>
          <w:bCs w:val="0"/>
          <w:sz w:val="28"/>
          <w:szCs w:val="28"/>
          <w:highlight w:val="none"/>
        </w:rPr>
        <w:t>、建筑设备安装与调控竞赛日程安排</w:t>
      </w:r>
    </w:p>
    <w:tbl>
      <w:tblPr>
        <w:tblStyle w:val="3"/>
        <w:tblW w:w="9963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88"/>
        <w:gridCol w:w="3125"/>
        <w:gridCol w:w="3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日期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时间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内容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12月3日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15:00—16:00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赛前会议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实验实训楼五楼多功能会议厅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16:00—17:00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查看竞赛场地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综合实训楼负一楼建筑实训中心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12月4日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7:20—8:00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抽签、检录入场，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检查竞赛设备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综合实训楼负一楼建筑实训中心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8:00—17:00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建筑设备安装与调控竞赛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综合实训楼负一楼建筑实训中心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12月5日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8:00—17:00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建筑设备安装与调控竞赛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/>
              <w:ind w:left="0" w:right="99" w:rightChars="47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综合实训楼负一楼建筑实训中心</w:t>
            </w:r>
          </w:p>
        </w:tc>
      </w:tr>
    </w:tbl>
    <w:p>
      <w:pPr>
        <w:widowControl/>
        <w:spacing w:line="580" w:lineRule="exact"/>
        <w:ind w:firstLine="560" w:firstLineChars="200"/>
        <w:jc w:val="left"/>
        <w:rPr>
          <w:rFonts w:hint="eastAsia" w:ascii="Times New Roman" w:hAnsi="Times New Roman" w:eastAsia="仿宋" w:cs="Times New Roman"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zU2MzlmNmFmMGU5ZWI2N2NiNWNhNzRjNTY4OWYifQ=="/>
  </w:docVars>
  <w:rsids>
    <w:rsidRoot w:val="00000000"/>
    <w:rsid w:val="001339C0"/>
    <w:rsid w:val="008322BB"/>
    <w:rsid w:val="010551D2"/>
    <w:rsid w:val="01D34D54"/>
    <w:rsid w:val="020177D2"/>
    <w:rsid w:val="0235791B"/>
    <w:rsid w:val="023B2ABD"/>
    <w:rsid w:val="035E318C"/>
    <w:rsid w:val="03BE3397"/>
    <w:rsid w:val="05087233"/>
    <w:rsid w:val="05392AD0"/>
    <w:rsid w:val="06157197"/>
    <w:rsid w:val="0648490A"/>
    <w:rsid w:val="06502AC3"/>
    <w:rsid w:val="06523B0D"/>
    <w:rsid w:val="06547192"/>
    <w:rsid w:val="07FB1D08"/>
    <w:rsid w:val="0802440D"/>
    <w:rsid w:val="08B84ACC"/>
    <w:rsid w:val="09632BA6"/>
    <w:rsid w:val="097968C5"/>
    <w:rsid w:val="0AB319EF"/>
    <w:rsid w:val="0C3E79DE"/>
    <w:rsid w:val="0D1C0884"/>
    <w:rsid w:val="0D7C6A10"/>
    <w:rsid w:val="0D961154"/>
    <w:rsid w:val="0DFA7935"/>
    <w:rsid w:val="0FD0094D"/>
    <w:rsid w:val="103564EA"/>
    <w:rsid w:val="10374E70"/>
    <w:rsid w:val="104B2354"/>
    <w:rsid w:val="112B0245"/>
    <w:rsid w:val="114B71A1"/>
    <w:rsid w:val="11704661"/>
    <w:rsid w:val="11D55DCF"/>
    <w:rsid w:val="12363B1F"/>
    <w:rsid w:val="12B517AF"/>
    <w:rsid w:val="13ED1400"/>
    <w:rsid w:val="13F9007D"/>
    <w:rsid w:val="148055AE"/>
    <w:rsid w:val="14BB2783"/>
    <w:rsid w:val="15D32F45"/>
    <w:rsid w:val="16204180"/>
    <w:rsid w:val="16930262"/>
    <w:rsid w:val="16A63753"/>
    <w:rsid w:val="17022710"/>
    <w:rsid w:val="171A6205"/>
    <w:rsid w:val="197C77C1"/>
    <w:rsid w:val="19C20A02"/>
    <w:rsid w:val="1AA8309F"/>
    <w:rsid w:val="1B5A7C65"/>
    <w:rsid w:val="1B854457"/>
    <w:rsid w:val="1BAD7F1D"/>
    <w:rsid w:val="1DA13847"/>
    <w:rsid w:val="1E9569D2"/>
    <w:rsid w:val="1F4B7AAA"/>
    <w:rsid w:val="1F513865"/>
    <w:rsid w:val="20BD316F"/>
    <w:rsid w:val="20C53DD2"/>
    <w:rsid w:val="20DD181A"/>
    <w:rsid w:val="21117017"/>
    <w:rsid w:val="21690C01"/>
    <w:rsid w:val="21DD1C35"/>
    <w:rsid w:val="22A527B2"/>
    <w:rsid w:val="2396517F"/>
    <w:rsid w:val="23C465C3"/>
    <w:rsid w:val="245931AF"/>
    <w:rsid w:val="25CE6E7A"/>
    <w:rsid w:val="25FF7B02"/>
    <w:rsid w:val="26D12C43"/>
    <w:rsid w:val="270E3D6E"/>
    <w:rsid w:val="27721A94"/>
    <w:rsid w:val="27A26C1B"/>
    <w:rsid w:val="280879C8"/>
    <w:rsid w:val="280D0539"/>
    <w:rsid w:val="28A55E51"/>
    <w:rsid w:val="28B44F82"/>
    <w:rsid w:val="28D9041B"/>
    <w:rsid w:val="28DA6BA2"/>
    <w:rsid w:val="28F76CEE"/>
    <w:rsid w:val="29CF33E6"/>
    <w:rsid w:val="2A1B493E"/>
    <w:rsid w:val="2C1B1902"/>
    <w:rsid w:val="2C3D2F49"/>
    <w:rsid w:val="2C606A23"/>
    <w:rsid w:val="2C9F5E1F"/>
    <w:rsid w:val="2CE153AC"/>
    <w:rsid w:val="2DAD1E76"/>
    <w:rsid w:val="2DCC054E"/>
    <w:rsid w:val="2DCF241D"/>
    <w:rsid w:val="2E075A2A"/>
    <w:rsid w:val="2E3C58C8"/>
    <w:rsid w:val="2EF06796"/>
    <w:rsid w:val="30313A8F"/>
    <w:rsid w:val="30E738F1"/>
    <w:rsid w:val="30EE44CE"/>
    <w:rsid w:val="30FD03D6"/>
    <w:rsid w:val="3168102C"/>
    <w:rsid w:val="318A5F0D"/>
    <w:rsid w:val="31E816AE"/>
    <w:rsid w:val="32546045"/>
    <w:rsid w:val="32585608"/>
    <w:rsid w:val="32B02A38"/>
    <w:rsid w:val="32D35803"/>
    <w:rsid w:val="334E2AE3"/>
    <w:rsid w:val="341F06DF"/>
    <w:rsid w:val="3439628A"/>
    <w:rsid w:val="354111EE"/>
    <w:rsid w:val="36341386"/>
    <w:rsid w:val="36CF7301"/>
    <w:rsid w:val="380A2199"/>
    <w:rsid w:val="38BA4810"/>
    <w:rsid w:val="399D1F62"/>
    <w:rsid w:val="3AC0577F"/>
    <w:rsid w:val="3B9C6EF5"/>
    <w:rsid w:val="3BB575A4"/>
    <w:rsid w:val="3C002CCF"/>
    <w:rsid w:val="3C656005"/>
    <w:rsid w:val="3E0046A2"/>
    <w:rsid w:val="3E245F08"/>
    <w:rsid w:val="3E8F4CDF"/>
    <w:rsid w:val="3EEE396F"/>
    <w:rsid w:val="3F6920E8"/>
    <w:rsid w:val="3F77024B"/>
    <w:rsid w:val="405745EF"/>
    <w:rsid w:val="4125649B"/>
    <w:rsid w:val="414E6C67"/>
    <w:rsid w:val="4194717D"/>
    <w:rsid w:val="41E53E7C"/>
    <w:rsid w:val="43383B24"/>
    <w:rsid w:val="43784453"/>
    <w:rsid w:val="446F6CAC"/>
    <w:rsid w:val="451E1D60"/>
    <w:rsid w:val="455C47D6"/>
    <w:rsid w:val="460E7E52"/>
    <w:rsid w:val="467034FA"/>
    <w:rsid w:val="467D4631"/>
    <w:rsid w:val="471364B7"/>
    <w:rsid w:val="483B0352"/>
    <w:rsid w:val="49D12E44"/>
    <w:rsid w:val="4ABA214F"/>
    <w:rsid w:val="4B7A0555"/>
    <w:rsid w:val="4C4A5D44"/>
    <w:rsid w:val="4C567884"/>
    <w:rsid w:val="4C6D3873"/>
    <w:rsid w:val="4D224231"/>
    <w:rsid w:val="4DE35714"/>
    <w:rsid w:val="4E5A0CBA"/>
    <w:rsid w:val="4E8F109C"/>
    <w:rsid w:val="4EA01857"/>
    <w:rsid w:val="4EDD1A0C"/>
    <w:rsid w:val="4EEB733C"/>
    <w:rsid w:val="4F9C61F4"/>
    <w:rsid w:val="4F9D19A6"/>
    <w:rsid w:val="4FE45004"/>
    <w:rsid w:val="51005BBB"/>
    <w:rsid w:val="522355AF"/>
    <w:rsid w:val="524A7CED"/>
    <w:rsid w:val="529F7C39"/>
    <w:rsid w:val="531E2D4A"/>
    <w:rsid w:val="560373E4"/>
    <w:rsid w:val="56FA7C91"/>
    <w:rsid w:val="57573FF1"/>
    <w:rsid w:val="57FE425F"/>
    <w:rsid w:val="58853E48"/>
    <w:rsid w:val="590964CD"/>
    <w:rsid w:val="593F368D"/>
    <w:rsid w:val="59427F42"/>
    <w:rsid w:val="5954047E"/>
    <w:rsid w:val="59981AA8"/>
    <w:rsid w:val="5A184997"/>
    <w:rsid w:val="5C7834CB"/>
    <w:rsid w:val="5D533B7A"/>
    <w:rsid w:val="5DAB5B22"/>
    <w:rsid w:val="5E3141E7"/>
    <w:rsid w:val="5E5F0447"/>
    <w:rsid w:val="5E7529AB"/>
    <w:rsid w:val="5F1D2B10"/>
    <w:rsid w:val="5F2913F5"/>
    <w:rsid w:val="5FDF3132"/>
    <w:rsid w:val="600A4C7F"/>
    <w:rsid w:val="604069F6"/>
    <w:rsid w:val="60AC1A06"/>
    <w:rsid w:val="6107256A"/>
    <w:rsid w:val="621C478F"/>
    <w:rsid w:val="623B25E8"/>
    <w:rsid w:val="62AC32D3"/>
    <w:rsid w:val="63B80B23"/>
    <w:rsid w:val="661A5C79"/>
    <w:rsid w:val="6676236E"/>
    <w:rsid w:val="66EB2440"/>
    <w:rsid w:val="67173FBA"/>
    <w:rsid w:val="671B7D67"/>
    <w:rsid w:val="671C194E"/>
    <w:rsid w:val="672D2A60"/>
    <w:rsid w:val="676236F6"/>
    <w:rsid w:val="67DF5046"/>
    <w:rsid w:val="685272BE"/>
    <w:rsid w:val="68C13BE3"/>
    <w:rsid w:val="697973AA"/>
    <w:rsid w:val="699C6CE9"/>
    <w:rsid w:val="69FD788E"/>
    <w:rsid w:val="6A162576"/>
    <w:rsid w:val="6A702141"/>
    <w:rsid w:val="6AB853DB"/>
    <w:rsid w:val="6AEC01A7"/>
    <w:rsid w:val="6B0F45F0"/>
    <w:rsid w:val="6B5E623E"/>
    <w:rsid w:val="6BCE135A"/>
    <w:rsid w:val="6C1E5314"/>
    <w:rsid w:val="6C406E13"/>
    <w:rsid w:val="6D26269E"/>
    <w:rsid w:val="6DA001EB"/>
    <w:rsid w:val="6DD86497"/>
    <w:rsid w:val="6F771317"/>
    <w:rsid w:val="6FAD4C7B"/>
    <w:rsid w:val="70742A54"/>
    <w:rsid w:val="71010829"/>
    <w:rsid w:val="716B4B60"/>
    <w:rsid w:val="73ED7CA9"/>
    <w:rsid w:val="745279C7"/>
    <w:rsid w:val="74BB693D"/>
    <w:rsid w:val="75431833"/>
    <w:rsid w:val="75502DDF"/>
    <w:rsid w:val="75861C35"/>
    <w:rsid w:val="762E5F22"/>
    <w:rsid w:val="76716703"/>
    <w:rsid w:val="76B72015"/>
    <w:rsid w:val="77601049"/>
    <w:rsid w:val="785E022B"/>
    <w:rsid w:val="790F79DB"/>
    <w:rsid w:val="79CD33ED"/>
    <w:rsid w:val="7B451DEC"/>
    <w:rsid w:val="7B8368FA"/>
    <w:rsid w:val="7C230645"/>
    <w:rsid w:val="7C391342"/>
    <w:rsid w:val="7D851A94"/>
    <w:rsid w:val="7DC97D66"/>
    <w:rsid w:val="7E9C2F67"/>
    <w:rsid w:val="7F425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1229</Words>
  <Characters>1309</Characters>
  <Lines>1</Lines>
  <Paragraphs>1</Paragraphs>
  <TotalTime>24</TotalTime>
  <ScaleCrop>false</ScaleCrop>
  <LinksUpToDate>false</LinksUpToDate>
  <CharactersWithSpaces>1311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</cp:lastModifiedBy>
  <dcterms:modified xsi:type="dcterms:W3CDTF">2023-11-15T02:46:12Z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577294D0F73F42AD8F4BF3FE231FEFB6</vt:lpwstr>
  </property>
</Properties>
</file>